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0" w:rsidRPr="00040C10" w:rsidRDefault="00306A9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27.12.2016</w:t>
      </w:r>
      <w:r w:rsidR="00BD5FB7">
        <w:rPr>
          <w:rFonts w:ascii="Arial" w:hAnsi="Arial" w:cs="Arial"/>
          <w:b/>
          <w:color w:val="000000"/>
          <w:spacing w:val="-10"/>
          <w:sz w:val="32"/>
          <w:szCs w:val="32"/>
        </w:rPr>
        <w:t>Г.</w:t>
      </w:r>
      <w:r w:rsidR="00040C10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174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040C10" w:rsidRPr="007E1890" w:rsidRDefault="00040C10" w:rsidP="00040C10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040C10" w:rsidRPr="007E1890" w:rsidRDefault="00040C10" w:rsidP="00040C1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040C10" w:rsidRPr="007E1890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>
        <w:rPr>
          <w:rFonts w:ascii="Arial" w:hAnsi="Arial" w:cs="Arial"/>
          <w:b/>
          <w:sz w:val="32"/>
          <w:szCs w:val="32"/>
        </w:rPr>
        <w:t>ВНЕСЕНИИ ИЗМЕНЕНИЙ</w:t>
      </w:r>
      <w:r w:rsidR="002B6B5D">
        <w:rPr>
          <w:rFonts w:ascii="Arial" w:hAnsi="Arial" w:cs="Arial"/>
          <w:b/>
          <w:sz w:val="32"/>
          <w:szCs w:val="32"/>
        </w:rPr>
        <w:t xml:space="preserve"> И ДОПОЛНЕНИЙ</w:t>
      </w:r>
      <w:r w:rsidR="00040C10">
        <w:rPr>
          <w:rFonts w:ascii="Arial" w:hAnsi="Arial" w:cs="Arial"/>
          <w:b/>
          <w:sz w:val="32"/>
          <w:szCs w:val="32"/>
        </w:rPr>
        <w:t xml:space="preserve"> В </w:t>
      </w:r>
      <w:r w:rsidR="00040C10" w:rsidRPr="00FB2C5C">
        <w:rPr>
          <w:rFonts w:ascii="Arial" w:hAnsi="Arial" w:cs="Arial"/>
          <w:b/>
          <w:sz w:val="32"/>
          <w:szCs w:val="32"/>
        </w:rPr>
        <w:t>МУ</w:t>
      </w:r>
      <w:r w:rsidR="00040C10">
        <w:rPr>
          <w:rFonts w:ascii="Arial" w:hAnsi="Arial" w:cs="Arial"/>
          <w:b/>
          <w:sz w:val="32"/>
          <w:szCs w:val="32"/>
        </w:rPr>
        <w:t>НИЦИПАЛЬНУЮ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040C10">
        <w:rPr>
          <w:rFonts w:ascii="Arial" w:hAnsi="Arial" w:cs="Arial"/>
          <w:b/>
          <w:color w:val="000000"/>
          <w:sz w:val="32"/>
          <w:szCs w:val="32"/>
        </w:rPr>
        <w:t>МУ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ИНФРАСТРУКТУРЫ СЕЛЬСКОГО ПОСЕЛЕНИЯ РАЗДОЛЬИНСКОГО МУНИЦИПАЛЬНОГО ОБРАЗОВАНИЯ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самоуправления в Российской Федерации», руководствуясь ст.6, ст.46 Устава сельского поселения Раздольинского муниципального образования,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Раздольинского муниципального образования  №141 от 31.03.2016г. «Об утверждении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 xml:space="preserve">инфраструктуры сельского поселения Раздольинского муниципального образования на 2016–2031 г.г.»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011A91" w:rsidRDefault="00A60214" w:rsidP="00011A91">
      <w:pPr>
        <w:ind w:firstLine="709"/>
        <w:jc w:val="both"/>
        <w:rPr>
          <w:rFonts w:ascii="Arial" w:hAnsi="Arial" w:cs="Arial"/>
          <w:color w:val="000000"/>
        </w:rPr>
      </w:pPr>
      <w:r w:rsidRPr="002B6B5D">
        <w:rPr>
          <w:rFonts w:ascii="Arial" w:hAnsi="Arial" w:cs="Arial"/>
        </w:rPr>
        <w:t xml:space="preserve">1.1. </w:t>
      </w:r>
      <w:r w:rsidR="002B6B5D" w:rsidRPr="002B6B5D">
        <w:rPr>
          <w:rFonts w:ascii="Arial" w:hAnsi="Arial" w:cs="Arial"/>
        </w:rPr>
        <w:t>В п</w:t>
      </w:r>
      <w:r w:rsidR="00027D39" w:rsidRPr="002B6B5D">
        <w:rPr>
          <w:rFonts w:ascii="Arial" w:hAnsi="Arial" w:cs="Arial"/>
        </w:rPr>
        <w:t>аспорт</w:t>
      </w:r>
      <w:r w:rsidR="002B6B5D" w:rsidRPr="002B6B5D">
        <w:rPr>
          <w:rFonts w:ascii="Arial" w:hAnsi="Arial" w:cs="Arial"/>
        </w:rPr>
        <w:t>е</w:t>
      </w:r>
      <w:r w:rsidR="00040C10" w:rsidRPr="002B6B5D">
        <w:rPr>
          <w:rFonts w:ascii="Arial" w:hAnsi="Arial" w:cs="Arial"/>
        </w:rPr>
        <w:t xml:space="preserve"> муниципальной программы </w:t>
      </w:r>
      <w:r w:rsidR="002B6B5D" w:rsidRPr="002B6B5D">
        <w:rPr>
          <w:rFonts w:ascii="Arial" w:hAnsi="Arial" w:cs="Arial"/>
          <w:color w:val="000000"/>
        </w:rPr>
        <w:t>ресурсное обеспечение муниципальной программы</w:t>
      </w:r>
      <w:r w:rsidR="00040C10" w:rsidRPr="002B6B5D">
        <w:rPr>
          <w:rFonts w:ascii="Arial" w:hAnsi="Arial" w:cs="Arial"/>
        </w:rPr>
        <w:t>изложить в новой редакции:</w:t>
      </w:r>
    </w:p>
    <w:p w:rsidR="007E5ED9" w:rsidRPr="007E5ED9" w:rsidRDefault="007E5ED9" w:rsidP="002B6B5D">
      <w:pPr>
        <w:ind w:firstLine="60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4"/>
        <w:gridCol w:w="6155"/>
      </w:tblGrid>
      <w:tr w:rsidR="007E5ED9" w:rsidRPr="007E5ED9" w:rsidTr="006872E5">
        <w:trPr>
          <w:trHeight w:val="1923"/>
          <w:jc w:val="center"/>
        </w:trPr>
        <w:tc>
          <w:tcPr>
            <w:tcW w:w="3624" w:type="dxa"/>
          </w:tcPr>
          <w:p w:rsidR="007E5ED9" w:rsidRPr="007E5ED9" w:rsidRDefault="007E5ED9" w:rsidP="007E5ED9">
            <w:pPr>
              <w:rPr>
                <w:rFonts w:ascii="Courier New" w:hAnsi="Courier New" w:cs="Courier New"/>
                <w:color w:val="000000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155" w:type="dxa"/>
          </w:tcPr>
          <w:p w:rsidR="007E5ED9" w:rsidRPr="00011A91" w:rsidRDefault="007E5ED9" w:rsidP="007E5ED9">
            <w:pPr>
              <w:ind w:right="-18"/>
              <w:rPr>
                <w:rFonts w:ascii="Courier New" w:hAnsi="Courier New" w:cs="Courier New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программы за счет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t>всех источников  –</w:t>
            </w:r>
            <w:r w:rsidR="00011A91">
              <w:rPr>
                <w:rFonts w:ascii="Courier New" w:hAnsi="Courier New" w:cs="Courier New"/>
                <w:sz w:val="22"/>
                <w:szCs w:val="22"/>
              </w:rPr>
              <w:t>8 626,4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7E5ED9" w:rsidRPr="00011A91" w:rsidRDefault="007E5ED9" w:rsidP="007E5ED9">
            <w:pPr>
              <w:ind w:right="-18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tbl>
            <w:tblPr>
              <w:tblW w:w="5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05"/>
              <w:gridCol w:w="2924"/>
            </w:tblGrid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highlight w:val="yellow"/>
                    </w:rPr>
                  </w:pPr>
                  <w:r w:rsidRPr="00011A9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средства местного бюджета тыс. руб.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highlight w:val="yellow"/>
                    </w:rPr>
                  </w:pPr>
                  <w:r w:rsidRPr="00011A9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внебюджетные средства тыс. руб.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- 339,0 </w:t>
                  </w:r>
                </w:p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–8 287,4</w:t>
                  </w:r>
                </w:p>
                <w:p w:rsidR="007E5ED9" w:rsidRPr="00011A91" w:rsidRDefault="007E5ED9" w:rsidP="007E5ED9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2016г.–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011A91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>2016г. –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1704,2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0,0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011A91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1975,8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011A91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2018г. – 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1659,5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2019г.– 2,0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011A91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2019г. – 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1438,7</w:t>
                  </w:r>
                </w:p>
              </w:tc>
            </w:tr>
            <w:tr w:rsidR="007E5ED9" w:rsidRPr="00011A91" w:rsidTr="006872E5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7E5ED9">
                  <w:pPr>
                    <w:ind w:left="-71"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335,0 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011A91" w:rsidRDefault="007E5ED9" w:rsidP="00011A91">
                  <w:pPr>
                    <w:ind w:right="-18"/>
                    <w:rPr>
                      <w:rFonts w:ascii="Courier New" w:hAnsi="Courier New" w:cs="Courier New"/>
                    </w:rPr>
                  </w:pPr>
                  <w:r w:rsidRPr="00011A9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 – </w:t>
                  </w:r>
                  <w:r w:rsidR="00011A91">
                    <w:rPr>
                      <w:rFonts w:ascii="Courier New" w:hAnsi="Courier New" w:cs="Courier New"/>
                      <w:sz w:val="22"/>
                      <w:szCs w:val="22"/>
                    </w:rPr>
                    <w:t>1509,2</w:t>
                  </w:r>
                </w:p>
              </w:tc>
            </w:tr>
            <w:tr w:rsidR="007E5ED9" w:rsidRPr="007E5ED9" w:rsidTr="006872E5">
              <w:tc>
                <w:tcPr>
                  <w:tcW w:w="5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011A91" w:rsidP="007E5ED9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Таблица </w:t>
                  </w:r>
                  <w:r w:rsidR="007E5ED9"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E43A5D" w:rsidRDefault="00E43A5D" w:rsidP="00011A91">
      <w:pPr>
        <w:jc w:val="both"/>
        <w:rPr>
          <w:rFonts w:ascii="Arial" w:hAnsi="Arial" w:cs="Arial"/>
        </w:rPr>
      </w:pPr>
    </w:p>
    <w:p w:rsidR="00E43A5D" w:rsidRDefault="00E06205" w:rsidP="005222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 п.3пп. 3.2., </w:t>
      </w:r>
      <w:r w:rsidR="00011A91">
        <w:rPr>
          <w:rFonts w:ascii="Arial" w:hAnsi="Arial" w:cs="Arial"/>
        </w:rPr>
        <w:t>второй</w:t>
      </w:r>
      <w:r>
        <w:rPr>
          <w:rFonts w:ascii="Arial" w:hAnsi="Arial" w:cs="Arial"/>
        </w:rPr>
        <w:t xml:space="preserve"> абзац изложить в следующей редакции:</w:t>
      </w:r>
    </w:p>
    <w:p w:rsidR="00E06205" w:rsidRPr="00011A91" w:rsidRDefault="00E06205" w:rsidP="00E06205">
      <w:pPr>
        <w:spacing w:line="276" w:lineRule="auto"/>
        <w:ind w:firstLine="708"/>
        <w:jc w:val="both"/>
        <w:rPr>
          <w:rFonts w:ascii="Arial" w:hAnsi="Arial" w:cs="Arial"/>
        </w:rPr>
      </w:pPr>
      <w:r w:rsidRPr="00011A91">
        <w:rPr>
          <w:rFonts w:ascii="Arial" w:hAnsi="Arial" w:cs="Arial"/>
        </w:rPr>
        <w:t xml:space="preserve">Теплоснабжение объектов социальной сферы (МБОУ Раздольинская СОШ и МКУК Раздольинский ЦКИСД) осуществляется котельной, которая является муниципальной собственностью и передана ООО «ЖКХ». </w:t>
      </w:r>
    </w:p>
    <w:p w:rsidR="003E5343" w:rsidRPr="00BA4337" w:rsidRDefault="003E5343" w:rsidP="003E53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 w:rsidRPr="00BA4337">
        <w:rPr>
          <w:rFonts w:ascii="Arial" w:hAnsi="Arial" w:cs="Arial"/>
        </w:rPr>
        <w:t>Пункт 4. Перечень мероприятий в сфере теплоснабжения изложить в новой редакции:</w:t>
      </w:r>
    </w:p>
    <w:p w:rsidR="003E5343" w:rsidRPr="00BA4337" w:rsidRDefault="003E5343" w:rsidP="003E534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BA4337">
        <w:rPr>
          <w:b/>
          <w:sz w:val="24"/>
          <w:szCs w:val="24"/>
        </w:rPr>
        <w:t>Теплоснабжение.</w:t>
      </w:r>
    </w:p>
    <w:p w:rsidR="003E5343" w:rsidRPr="00BA4337" w:rsidRDefault="003E5343" w:rsidP="003E5343">
      <w:pPr>
        <w:spacing w:line="276" w:lineRule="auto"/>
        <w:ind w:firstLine="709"/>
        <w:jc w:val="both"/>
        <w:rPr>
          <w:rFonts w:ascii="Arial" w:hAnsi="Arial" w:cs="Arial"/>
        </w:rPr>
      </w:pPr>
    </w:p>
    <w:p w:rsidR="003E5343" w:rsidRPr="00BA4337" w:rsidRDefault="003E5343" w:rsidP="003E53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>1. Ремонт тепловых сетей</w:t>
      </w:r>
    </w:p>
    <w:p w:rsidR="003E5343" w:rsidRPr="00BA4337" w:rsidRDefault="003E5343" w:rsidP="003E53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A4337">
        <w:rPr>
          <w:sz w:val="24"/>
          <w:szCs w:val="24"/>
        </w:rPr>
        <w:t>2. Замена колосников механической топки (ежеквартально).</w:t>
      </w:r>
    </w:p>
    <w:p w:rsidR="003E5343" w:rsidRPr="00BA4337" w:rsidRDefault="003E5343" w:rsidP="003E534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4337">
        <w:rPr>
          <w:sz w:val="24"/>
          <w:szCs w:val="24"/>
        </w:rPr>
        <w:t>. Ремонт здания котельной.</w:t>
      </w:r>
    </w:p>
    <w:p w:rsidR="003E5343" w:rsidRPr="00BA4337" w:rsidRDefault="003E5343" w:rsidP="003E534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A4337">
        <w:rPr>
          <w:sz w:val="24"/>
          <w:szCs w:val="24"/>
        </w:rPr>
        <w:t>. Ремонт котельного оборудования</w:t>
      </w:r>
    </w:p>
    <w:p w:rsidR="00E06205" w:rsidRPr="00011A91" w:rsidRDefault="003E5343" w:rsidP="00011A9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A4337">
        <w:rPr>
          <w:sz w:val="24"/>
          <w:szCs w:val="24"/>
        </w:rPr>
        <w:t>. Приобретение насосного оборудования в котельную.</w:t>
      </w:r>
    </w:p>
    <w:p w:rsidR="00E06205" w:rsidRDefault="00E06205" w:rsidP="005222E2">
      <w:pPr>
        <w:ind w:firstLine="709"/>
        <w:jc w:val="both"/>
        <w:rPr>
          <w:rFonts w:ascii="Arial" w:hAnsi="Arial" w:cs="Arial"/>
        </w:rPr>
      </w:pPr>
    </w:p>
    <w:p w:rsidR="00F3501D" w:rsidRDefault="00011A91" w:rsidP="005222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60214" w:rsidRPr="005222E2">
        <w:rPr>
          <w:rFonts w:ascii="Arial" w:hAnsi="Arial" w:cs="Arial"/>
        </w:rPr>
        <w:t xml:space="preserve">. </w:t>
      </w:r>
      <w:r w:rsidR="005222E2" w:rsidRPr="005222E2">
        <w:rPr>
          <w:rFonts w:ascii="Arial" w:hAnsi="Arial" w:cs="Arial"/>
        </w:rPr>
        <w:t>Таблицу 1 «</w:t>
      </w:r>
      <w:r w:rsidR="005222E2" w:rsidRPr="005222E2">
        <w:rPr>
          <w:rFonts w:ascii="Arial" w:hAnsi="Arial" w:cs="Arial"/>
          <w:bCs/>
          <w:color w:val="000000"/>
        </w:rPr>
        <w:t>Сведенияо составе и значениях показателей муниципальной программы</w:t>
      </w:r>
      <w:r w:rsidR="005222E2" w:rsidRPr="005222E2">
        <w:rPr>
          <w:rFonts w:ascii="Arial" w:hAnsi="Arial" w:cs="Arial"/>
          <w:color w:val="000000"/>
        </w:rPr>
        <w:t>«Комплексное развитие систем коммунальнойинфраструктурысельского поселения Раздольинскогомуниципального образования на 2016–2031 годы»</w:t>
      </w:r>
      <w:r w:rsidR="005222E2">
        <w:rPr>
          <w:rFonts w:ascii="Arial" w:hAnsi="Arial" w:cs="Arial"/>
        </w:rPr>
        <w:t>изложить в новой редакции.</w:t>
      </w:r>
    </w:p>
    <w:p w:rsidR="00040C10" w:rsidRPr="0087505B" w:rsidRDefault="00011A91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040C10" w:rsidRPr="00A60214">
        <w:rPr>
          <w:rFonts w:ascii="Arial" w:hAnsi="Arial" w:cs="Arial"/>
          <w:bCs/>
          <w:color w:val="000000"/>
        </w:rPr>
        <w:t xml:space="preserve">. </w:t>
      </w:r>
      <w:r w:rsidR="00A60214" w:rsidRPr="00A60214">
        <w:rPr>
          <w:rFonts w:ascii="Arial" w:hAnsi="Arial" w:cs="Arial"/>
          <w:bCs/>
          <w:color w:val="000000"/>
        </w:rPr>
        <w:t>Таблицу 3 «</w:t>
      </w:r>
      <w:r w:rsidR="0087505B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A60214">
        <w:rPr>
          <w:rFonts w:ascii="Arial" w:hAnsi="Arial" w:cs="Arial"/>
          <w:bCs/>
          <w:color w:val="000000"/>
        </w:rPr>
        <w:t xml:space="preserve">ресурсного обеспечения реализации муниципальной программы </w:t>
      </w:r>
      <w:r w:rsidR="00A60214" w:rsidRPr="00A60214">
        <w:rPr>
          <w:rFonts w:ascii="Arial" w:hAnsi="Arial" w:cs="Arial"/>
          <w:color w:val="000000"/>
        </w:rPr>
        <w:t xml:space="preserve">«Комплексное развитие систем коммунальной инфраструктуры сельского поселения Раздольинского муниципального образованияна 2016–2031 годы» </w:t>
      </w:r>
      <w:r w:rsidR="00A60214" w:rsidRPr="00A60214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A60214" w:rsidRDefault="00011A91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40C10" w:rsidRPr="00A60214">
        <w:rPr>
          <w:rFonts w:ascii="Arial" w:hAnsi="Arial" w:cs="Arial"/>
        </w:rPr>
        <w:t xml:space="preserve">. Опубликовать данное решение в газете «Раздольинский информационный вестник» и на официальном сайте администрации сельского поселения Раздольинского </w:t>
      </w:r>
      <w:r w:rsidR="00040C10" w:rsidRPr="00A60214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040C10" w:rsidRPr="00FB2C5C" w:rsidRDefault="00040C10" w:rsidP="00040C10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Раздольинского</w:t>
      </w:r>
    </w:p>
    <w:p w:rsidR="009941B8" w:rsidRDefault="00011A91" w:rsidP="00040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50CE" w:rsidRDefault="00040C10" w:rsidP="009941B8">
      <w:pPr>
        <w:jc w:val="both"/>
      </w:pPr>
      <w:r w:rsidRPr="00FB2C5C">
        <w:rPr>
          <w:rFonts w:ascii="Arial" w:hAnsi="Arial" w:cs="Arial"/>
        </w:rPr>
        <w:t>С.И Добрынин</w:t>
      </w:r>
    </w:p>
    <w:p w:rsidR="009941B8" w:rsidRDefault="009941B8" w:rsidP="009941B8">
      <w:pPr>
        <w:jc w:val="both"/>
      </w:pPr>
    </w:p>
    <w:p w:rsidR="001450CE" w:rsidRDefault="001450CE" w:rsidP="00040C10">
      <w:pPr>
        <w:tabs>
          <w:tab w:val="left" w:pos="7920"/>
        </w:tabs>
        <w:spacing w:line="276" w:lineRule="auto"/>
        <w:ind w:firstLine="8460"/>
        <w:rPr>
          <w:b/>
        </w:rPr>
        <w:sectPr w:rsidR="001450CE" w:rsidSect="00306A9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lastRenderedPageBreak/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муниципальной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муниципальной программы</w:t>
      </w:r>
    </w:p>
    <w:p w:rsidR="00F3501D" w:rsidRPr="00F3501D" w:rsidRDefault="00F3501D" w:rsidP="00F3501D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инфраструктурысельского поселения Раздольинскогомуниципального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4072" w:type="dxa"/>
        <w:jc w:val="center"/>
        <w:tblInd w:w="962" w:type="dxa"/>
        <w:tblLayout w:type="fixed"/>
        <w:tblLook w:val="00A0"/>
      </w:tblPr>
      <w:tblGrid>
        <w:gridCol w:w="675"/>
        <w:gridCol w:w="4995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5222E2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bookmarkStart w:id="0" w:name="OLE_LINK1"/>
            <w:bookmarkStart w:id="1" w:name="OLE_LINK2"/>
            <w:bookmarkStart w:id="2" w:name="OLE_LINK3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5222E2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водонапорных башен и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Взятие проб воды на санитарно-гигиенические исследования.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29266E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Заключение гос-экспертизы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435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(ежеквартально).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222E2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29266E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чрезвычайных ситуаций и бесперебойного оказания услуг по организации электроснабжения п.Октябрьский и п.Манинск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Приобретение  топлива.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ТБО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поселений.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14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F3501D" w:rsidRPr="00F3501D" w:rsidTr="005222E2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монтаж светодиодных светильников в п.Октябрьский.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D5FB7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F3501D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bookmarkEnd w:id="0"/>
      <w:bookmarkEnd w:id="1"/>
      <w:bookmarkEnd w:id="2"/>
    </w:tbl>
    <w:p w:rsidR="00F3501D" w:rsidRPr="005222E2" w:rsidRDefault="00F3501D" w:rsidP="005222E2">
      <w:pPr>
        <w:rPr>
          <w:rFonts w:ascii="Arial" w:hAnsi="Arial" w:cs="Arial"/>
          <w:b/>
        </w:rPr>
      </w:pPr>
    </w:p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sz w:val="28"/>
          <w:szCs w:val="28"/>
        </w:rPr>
        <w:tab/>
      </w: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222E2">
        <w:rPr>
          <w:rFonts w:ascii="Courier New" w:hAnsi="Courier New" w:cs="Courier New"/>
          <w:bCs/>
          <w:color w:val="000000"/>
          <w:sz w:val="22"/>
          <w:szCs w:val="22"/>
        </w:rPr>
        <w:t xml:space="preserve">к муниципальной программе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«Комплексное развитие систем </w:t>
      </w:r>
    </w:p>
    <w:p w:rsidR="001450CE" w:rsidRPr="005222E2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коммунальной инфраструктуры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сельского поселения Раздольинского 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6B1748" w:rsidRDefault="001450CE" w:rsidP="00466A93">
      <w:pPr>
        <w:rPr>
          <w:b/>
          <w:bCs/>
          <w:color w:val="000000"/>
          <w:sz w:val="14"/>
        </w:rPr>
      </w:pPr>
    </w:p>
    <w:tbl>
      <w:tblPr>
        <w:tblW w:w="14536" w:type="dxa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0"/>
        <w:gridCol w:w="2761"/>
        <w:gridCol w:w="2908"/>
        <w:gridCol w:w="1089"/>
        <w:gridCol w:w="1117"/>
        <w:gridCol w:w="1134"/>
        <w:gridCol w:w="1193"/>
        <w:gridCol w:w="1138"/>
        <w:gridCol w:w="1086"/>
      </w:tblGrid>
      <w:tr w:rsidR="001450CE" w:rsidRPr="00011A91" w:rsidTr="00011A91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08" w:type="dxa"/>
            <w:vMerge w:val="restart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757" w:type="dxa"/>
            <w:gridSpan w:val="6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Оценка расходов</w:t>
            </w:r>
          </w:p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(тыс. руб.), годы</w:t>
            </w:r>
          </w:p>
        </w:tc>
      </w:tr>
      <w:tr w:rsidR="001450CE" w:rsidRPr="00011A91" w:rsidTr="00011A91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908" w:type="dxa"/>
            <w:vMerge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9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  <w:tc>
          <w:tcPr>
            <w:tcW w:w="1117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</w:tr>
      <w:tr w:rsidR="001450CE" w:rsidRPr="00011A91" w:rsidTr="00011A91">
        <w:trPr>
          <w:trHeight w:val="91"/>
          <w:jc w:val="center"/>
        </w:trPr>
        <w:tc>
          <w:tcPr>
            <w:tcW w:w="2110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8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011A91" w:rsidTr="00011A91">
        <w:trPr>
          <w:trHeight w:val="158"/>
          <w:jc w:val="center"/>
        </w:trPr>
        <w:tc>
          <w:tcPr>
            <w:tcW w:w="2110" w:type="dxa"/>
            <w:vMerge w:val="restart"/>
          </w:tcPr>
          <w:p w:rsidR="001450CE" w:rsidRPr="00011A91" w:rsidRDefault="00011A91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Комплексное развитие </w:t>
            </w: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систем коммунальной инфраструктуры сельского поселения Раздольинского муниципального образования на 2016–2031 годы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491C6E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11A91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Раздольинского МО, </w:t>
            </w:r>
            <w:r w:rsidR="00491C6E" w:rsidRPr="00011A91">
              <w:rPr>
                <w:rFonts w:ascii="Courier New" w:hAnsi="Courier New" w:cs="Courier New"/>
                <w:i/>
                <w:sz w:val="22"/>
                <w:szCs w:val="22"/>
              </w:rPr>
              <w:t xml:space="preserve">ООО «ЖКХ», </w:t>
            </w:r>
            <w:r w:rsidRPr="00011A91">
              <w:rPr>
                <w:rFonts w:ascii="Courier New" w:hAnsi="Courier New" w:cs="Courier New"/>
                <w:i/>
                <w:sz w:val="22"/>
                <w:szCs w:val="22"/>
              </w:rPr>
              <w:t>ГУЭП «Облкоммунэнерго-Сбыт, предприятия осуществляющие деятельность на территории Раздольинского муниципального образования в рамках  соглашений о социально-экономическом сотрудничестве</w:t>
            </w: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  <w:bookmarkStart w:id="3" w:name="_GoBack"/>
            <w:bookmarkEnd w:id="3"/>
          </w:p>
        </w:tc>
        <w:tc>
          <w:tcPr>
            <w:tcW w:w="1089" w:type="dxa"/>
            <w:noWrap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1704,2</w:t>
            </w:r>
          </w:p>
        </w:tc>
        <w:tc>
          <w:tcPr>
            <w:tcW w:w="1117" w:type="dxa"/>
          </w:tcPr>
          <w:p w:rsidR="001450CE" w:rsidRPr="00011A91" w:rsidRDefault="00011A91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1975,8</w:t>
            </w:r>
          </w:p>
        </w:tc>
        <w:tc>
          <w:tcPr>
            <w:tcW w:w="1134" w:type="dxa"/>
            <w:noWrap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1661,5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1440,7</w:t>
            </w:r>
          </w:p>
        </w:tc>
        <w:tc>
          <w:tcPr>
            <w:tcW w:w="1138" w:type="dxa"/>
          </w:tcPr>
          <w:p w:rsidR="001450CE" w:rsidRPr="00011A91" w:rsidRDefault="00011A91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1844,2</w:t>
            </w:r>
          </w:p>
        </w:tc>
        <w:tc>
          <w:tcPr>
            <w:tcW w:w="1086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8626,4</w:t>
            </w:r>
          </w:p>
        </w:tc>
      </w:tr>
      <w:tr w:rsidR="001450CE" w:rsidRPr="00011A91" w:rsidTr="00011A91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D9757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8511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8511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1450CE" w:rsidRPr="00011A91" w:rsidRDefault="00D9757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851175" w:rsidRPr="00011A9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011A91" w:rsidRDefault="008511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339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1689,2</w:t>
            </w:r>
          </w:p>
        </w:tc>
        <w:tc>
          <w:tcPr>
            <w:tcW w:w="1117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1959,8</w:t>
            </w:r>
          </w:p>
        </w:tc>
        <w:tc>
          <w:tcPr>
            <w:tcW w:w="1134" w:type="dxa"/>
            <w:noWrap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1642,5</w:t>
            </w:r>
          </w:p>
        </w:tc>
        <w:tc>
          <w:tcPr>
            <w:tcW w:w="1193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1420,7</w:t>
            </w:r>
          </w:p>
        </w:tc>
        <w:tc>
          <w:tcPr>
            <w:tcW w:w="1138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1490,2</w:t>
            </w:r>
          </w:p>
        </w:tc>
        <w:tc>
          <w:tcPr>
            <w:tcW w:w="1086" w:type="dxa"/>
          </w:tcPr>
          <w:p w:rsidR="001450CE" w:rsidRPr="00011A91" w:rsidRDefault="00011A91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8202,4</w:t>
            </w:r>
          </w:p>
        </w:tc>
      </w:tr>
      <w:tr w:rsidR="001450CE" w:rsidRPr="00011A91" w:rsidTr="00011A91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011A91" w:rsidTr="00011A91">
        <w:trPr>
          <w:trHeight w:val="245"/>
          <w:jc w:val="center"/>
        </w:trPr>
        <w:tc>
          <w:tcPr>
            <w:tcW w:w="14536" w:type="dxa"/>
            <w:gridSpan w:val="9"/>
            <w:vAlign w:val="center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1450CE" w:rsidRPr="00011A91" w:rsidRDefault="00B72868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keepNext/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осуществляющих деятельность на территории Раздольинского муниципального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водонапорных башен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Санитарная обработка накопительных емкостей водонапорных башен и автоцистерны для подвоза воды </w:t>
            </w: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населению.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осуществляющих деятельность на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5. Взятие проб воды на санитарно-гигиенические исследования.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B72868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Ремонт и утепление зданий водонапорных башен. 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73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23, 0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7. Ремонт ограждения водонапорных башен. 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8. Разработка проектно-сметной документации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9. Заключение гос-экспертизы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14536" w:type="dxa"/>
            <w:gridSpan w:val="9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 Ремонт тепловых сетей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механической топки (ежеквартально).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B72868" w:rsidP="003079EB">
            <w:pPr>
              <w:rPr>
                <w:rFonts w:ascii="Courier New" w:hAnsi="Courier New" w:cs="Courier New"/>
                <w:color w:val="000000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здания котельной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24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комплекса осуществляющих деятельность на территории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B72868" w:rsidP="003079EB">
            <w:pPr>
              <w:rPr>
                <w:rFonts w:ascii="Courier New" w:hAnsi="Courier New" w:cs="Courier New"/>
                <w:color w:val="000000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  <w:r w:rsidR="001450CE"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котельного оборудования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70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97576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115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692A83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692A83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692A83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692A83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D9757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86" w:type="dxa"/>
          </w:tcPr>
          <w:p w:rsidR="001450CE" w:rsidRPr="00011A91" w:rsidRDefault="00D9757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222A"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15,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011A91" w:rsidRDefault="00B72868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51175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011A91" w:rsidRDefault="00B72868" w:rsidP="00052547">
            <w:pPr>
              <w:rPr>
                <w:rFonts w:ascii="Courier New" w:hAnsi="Courier New" w:cs="Courier New"/>
                <w:color w:val="000000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2761" w:type="dxa"/>
            <w:vMerge w:val="restart"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851175" w:rsidRPr="00011A91" w:rsidRDefault="00851175" w:rsidP="00D97576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40,</w:t>
            </w:r>
            <w:r w:rsidR="00851175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851175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011A91" w:rsidRDefault="00D97576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851175"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851175" w:rsidRPr="00011A9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51175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851175" w:rsidRPr="00011A91" w:rsidRDefault="00851175" w:rsidP="00D97576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1175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851175" w:rsidRPr="00011A91" w:rsidRDefault="0015332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011A91" w:rsidRDefault="0015332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011A91" w:rsidRDefault="00D97576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153328"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011A91" w:rsidRDefault="0015332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51175"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51175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851175" w:rsidRPr="00011A91" w:rsidRDefault="00851175" w:rsidP="00D97576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851175" w:rsidRPr="00011A91" w:rsidRDefault="00851175" w:rsidP="00D9757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noWrap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93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011A91" w:rsidRDefault="00B72868" w:rsidP="00D97576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14536" w:type="dxa"/>
            <w:gridSpan w:val="9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ремонт дизельной электростанции, линии электропередач</w:t>
            </w: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, с целью  предотвращения чрезвычайных ситуаций и бесперебойного оказания услуг по организации электроснабжения п.Октябрьский и п.Манинск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1117" w:type="dxa"/>
          </w:tcPr>
          <w:p w:rsidR="001450CE" w:rsidRPr="00011A91" w:rsidRDefault="00B86B9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350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B86B9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B86B9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011A91" w:rsidRDefault="00B86B9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1086" w:type="dxa"/>
          </w:tcPr>
          <w:p w:rsidR="001450CE" w:rsidRPr="00011A91" w:rsidRDefault="00B86B9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803,0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коммунального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363,0</w:t>
            </w:r>
          </w:p>
        </w:tc>
        <w:tc>
          <w:tcPr>
            <w:tcW w:w="1117" w:type="dxa"/>
          </w:tcPr>
          <w:p w:rsidR="001450CE" w:rsidRPr="00011A91" w:rsidRDefault="00334AE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350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334AE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334AE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8" w:type="dxa"/>
          </w:tcPr>
          <w:p w:rsidR="001450CE" w:rsidRPr="00011A91" w:rsidRDefault="00334AE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86" w:type="dxa"/>
          </w:tcPr>
          <w:p w:rsidR="001450CE" w:rsidRPr="00011A91" w:rsidRDefault="00334AE6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803,0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Приобретение топлива.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883,2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1261,8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1324,5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1390,7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1460,2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6320,4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883,2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1261,8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1324,5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1390,7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1460,2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6320,4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14536" w:type="dxa"/>
            <w:gridSpan w:val="9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несанкционированных свалок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осуществляющих деятельность на территории Раздольинского муниципального образования в рамках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Проведение субботников по уборке территории поселений.</w:t>
            </w:r>
          </w:p>
        </w:tc>
        <w:tc>
          <w:tcPr>
            <w:tcW w:w="2761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keepNext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keepNext/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086" w:type="dxa"/>
          </w:tcPr>
          <w:p w:rsidR="001450CE" w:rsidRPr="00011A91" w:rsidRDefault="00D23F75" w:rsidP="00D23F75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14536" w:type="dxa"/>
            <w:gridSpan w:val="9"/>
          </w:tcPr>
          <w:p w:rsidR="001450CE" w:rsidRPr="00011A91" w:rsidRDefault="001450CE" w:rsidP="003079EB">
            <w:pPr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 расходного материала для ремонта светодиодных светильников.</w:t>
            </w: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17" w:type="dxa"/>
          </w:tcPr>
          <w:p w:rsidR="001450CE" w:rsidRPr="00011A91" w:rsidRDefault="0015332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</w:tcPr>
          <w:p w:rsidR="001450CE" w:rsidRPr="00011A91" w:rsidRDefault="0015332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15332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1450CE" w:rsidRPr="00011A91" w:rsidRDefault="00153328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450CE" w:rsidRPr="00011A9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17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86" w:type="dxa"/>
          </w:tcPr>
          <w:p w:rsidR="001450CE" w:rsidRPr="00011A91" w:rsidRDefault="00D23F75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50CE" w:rsidRPr="00011A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  <w:r w:rsidRPr="00011A91">
              <w:rPr>
                <w:rFonts w:ascii="Courier New" w:hAnsi="Courier New" w:cs="Courier New"/>
                <w:color w:val="000000"/>
                <w:sz w:val="22"/>
                <w:szCs w:val="22"/>
              </w:rPr>
              <w:t>2.Приобретение и монтаж светодиодных светильников в п.Октябрьский.</w:t>
            </w: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  <w:b/>
              </w:rPr>
            </w:pPr>
            <w:r w:rsidRPr="00011A91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011A91" w:rsidTr="00011A91">
        <w:trPr>
          <w:trHeight w:val="143"/>
          <w:jc w:val="center"/>
        </w:trPr>
        <w:tc>
          <w:tcPr>
            <w:tcW w:w="2110" w:type="dxa"/>
            <w:vMerge/>
          </w:tcPr>
          <w:p w:rsidR="001450CE" w:rsidRPr="00011A91" w:rsidRDefault="001450CE" w:rsidP="003079E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61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</w:p>
        </w:tc>
        <w:tc>
          <w:tcPr>
            <w:tcW w:w="2908" w:type="dxa"/>
          </w:tcPr>
          <w:p w:rsidR="001450CE" w:rsidRPr="00011A91" w:rsidRDefault="001450CE" w:rsidP="003079EB">
            <w:pPr>
              <w:rPr>
                <w:rFonts w:ascii="Courier New" w:hAnsi="Courier New" w:cs="Courier New"/>
              </w:rPr>
            </w:pPr>
            <w:r w:rsidRPr="00011A91">
              <w:rPr>
                <w:rFonts w:ascii="Courier New" w:hAnsi="Courier New" w:cs="Courier New"/>
                <w:sz w:val="22"/>
                <w:szCs w:val="22"/>
              </w:rPr>
              <w:t xml:space="preserve">средства предприятий </w:t>
            </w:r>
            <w:r w:rsidRPr="00011A91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деятельность на территории Раздольинского муниципального образования</w:t>
            </w:r>
          </w:p>
        </w:tc>
        <w:tc>
          <w:tcPr>
            <w:tcW w:w="1089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noWrap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6" w:type="dxa"/>
          </w:tcPr>
          <w:p w:rsidR="001450CE" w:rsidRPr="00011A91" w:rsidRDefault="001450CE" w:rsidP="003079E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466A9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49" w:rsidRDefault="00AD3449" w:rsidP="006A1833">
      <w:r>
        <w:separator/>
      </w:r>
    </w:p>
  </w:endnote>
  <w:endnote w:type="continuationSeparator" w:id="1">
    <w:p w:rsidR="00AD3449" w:rsidRDefault="00AD3449" w:rsidP="006A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49" w:rsidRDefault="00AD3449" w:rsidP="006A1833">
      <w:r>
        <w:separator/>
      </w:r>
    </w:p>
  </w:footnote>
  <w:footnote w:type="continuationSeparator" w:id="1">
    <w:p w:rsidR="00AD3449" w:rsidRDefault="00AD3449" w:rsidP="006A1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A91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D0F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4A95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0756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266E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B5D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6A90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4AE6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343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713E"/>
    <w:rsid w:val="004907AC"/>
    <w:rsid w:val="00490EAD"/>
    <w:rsid w:val="00491C6E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32CA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511B"/>
    <w:rsid w:val="006673F1"/>
    <w:rsid w:val="00670391"/>
    <w:rsid w:val="006703F3"/>
    <w:rsid w:val="006734FA"/>
    <w:rsid w:val="0067521D"/>
    <w:rsid w:val="006752F0"/>
    <w:rsid w:val="00675B46"/>
    <w:rsid w:val="006774DB"/>
    <w:rsid w:val="00677CF7"/>
    <w:rsid w:val="0068050B"/>
    <w:rsid w:val="0068113D"/>
    <w:rsid w:val="00685E09"/>
    <w:rsid w:val="006872E5"/>
    <w:rsid w:val="006901FE"/>
    <w:rsid w:val="00692A8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A9F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354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627A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0938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41B8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3449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2868"/>
    <w:rsid w:val="00B74189"/>
    <w:rsid w:val="00B7711E"/>
    <w:rsid w:val="00B77F82"/>
    <w:rsid w:val="00B824F8"/>
    <w:rsid w:val="00B834E1"/>
    <w:rsid w:val="00B838E1"/>
    <w:rsid w:val="00B84C45"/>
    <w:rsid w:val="00B86B9E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3847"/>
    <w:rsid w:val="00CC3D39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5186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1749"/>
    <w:rsid w:val="00D72A2F"/>
    <w:rsid w:val="00D73285"/>
    <w:rsid w:val="00D751C9"/>
    <w:rsid w:val="00D826A2"/>
    <w:rsid w:val="00D87A58"/>
    <w:rsid w:val="00D90B01"/>
    <w:rsid w:val="00D9166D"/>
    <w:rsid w:val="00D97576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6205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3A5D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Sib</cp:lastModifiedBy>
  <cp:revision>4</cp:revision>
  <cp:lastPrinted>2016-12-13T08:02:00Z</cp:lastPrinted>
  <dcterms:created xsi:type="dcterms:W3CDTF">2017-01-09T01:37:00Z</dcterms:created>
  <dcterms:modified xsi:type="dcterms:W3CDTF">2017-01-09T03:01:00Z</dcterms:modified>
</cp:coreProperties>
</file>